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both"/>
        <w:rPr>
          <w:rFonts w:hint="eastAsia" w:ascii="仿宋_GB2312" w:hAnsi="仿宋_GB2312" w:eastAsia="仿宋_GB2312" w:cs="仿宋_GB2312"/>
          <w:b w:val="0"/>
          <w:bCs w:val="0"/>
          <w:w w:val="95"/>
          <w:sz w:val="32"/>
          <w:szCs w:val="32"/>
        </w:rPr>
      </w:pPr>
      <w:bookmarkStart w:id="0" w:name="_GoBack"/>
      <w:bookmarkEnd w:id="0"/>
      <w:r>
        <w:rPr>
          <w:rFonts w:hint="eastAsia" w:ascii="仿宋_GB2312" w:hAnsi="仿宋_GB2312" w:eastAsia="仿宋_GB2312" w:cs="仿宋_GB2312"/>
          <w:b w:val="0"/>
          <w:bCs w:val="0"/>
          <w:w w:val="95"/>
          <w:sz w:val="32"/>
          <w:szCs w:val="32"/>
        </w:rPr>
        <w:t>附件1：</w:t>
      </w:r>
    </w:p>
    <w:p>
      <w:pPr>
        <w:spacing w:line="560" w:lineRule="exact"/>
        <w:ind w:left="0" w:leftChars="0" w:firstLine="0" w:firstLineChars="0"/>
        <w:jc w:val="center"/>
        <w:rPr>
          <w:rFonts w:hint="default" w:ascii="宋体" w:hAnsi="宋体" w:eastAsia="宋体" w:cs="宋体"/>
          <w:b/>
          <w:bCs/>
          <w:w w:val="95"/>
          <w:sz w:val="44"/>
          <w:szCs w:val="44"/>
        </w:rPr>
      </w:pPr>
      <w:r>
        <w:rPr>
          <w:rFonts w:hint="eastAsia" w:ascii="宋体" w:hAnsi="宋体" w:eastAsia="宋体" w:cs="宋体"/>
          <w:b/>
          <w:bCs/>
          <w:w w:val="95"/>
          <w:sz w:val="44"/>
          <w:szCs w:val="44"/>
        </w:rPr>
        <w:t>2022年专项研究课题</w:t>
      </w:r>
      <w:r>
        <w:rPr>
          <w:rFonts w:hint="default" w:ascii="宋体" w:hAnsi="宋体" w:eastAsia="宋体" w:cs="宋体"/>
          <w:b/>
          <w:bCs/>
          <w:w w:val="95"/>
          <w:sz w:val="44"/>
          <w:szCs w:val="44"/>
        </w:rPr>
        <w:t>选题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1、中国特色社会主义先行示范区新形势新内涵新测算体系深化研究</w:t>
      </w:r>
    </w:p>
    <w:p>
      <w:pPr>
        <w:keepNext w:val="0"/>
        <w:keepLines w:val="0"/>
        <w:widowControl/>
        <w:suppressLineNumbers w:val="0"/>
        <w:jc w:val="both"/>
        <w:rPr>
          <w:rFonts w:hint="default"/>
          <w:lang w:eastAsia="zh-CN"/>
        </w:rPr>
      </w:pPr>
      <w:r>
        <w:rPr>
          <w:rFonts w:hint="eastAsia" w:ascii="方正楷体_GBK" w:hAnsi="方正楷体_GBK" w:eastAsia="方正楷体_GBK" w:cs="方正楷体_GBK"/>
          <w:b/>
          <w:bCs/>
          <w:sz w:val="32"/>
          <w:szCs w:val="32"/>
          <w:lang w:eastAsia="zh-CN"/>
        </w:rPr>
        <w:t>研究内容：</w:t>
      </w:r>
      <w:r>
        <w:rPr>
          <w:rFonts w:hint="default" w:ascii="仿宋_GB2312" w:hAnsi="仿宋_GB2312" w:cs="仿宋_GB2312"/>
          <w:b w:val="0"/>
          <w:bCs/>
          <w:sz w:val="32"/>
          <w:szCs w:val="32"/>
          <w:lang w:eastAsia="zh-CN"/>
        </w:rPr>
        <w:t>从内外环境变化研判中国特色社会主义先行示范区建设面临的新形势，从理论逻辑高度研究中国特色社会主义先行示范区的新内涵，从“五位一体”角度提出中国特色社会主义先行示范区新图景，从现代治理模式研提出深圳建设中国特色社会主义先行示范区新举措，从战略目标视角构建相应测算体系及评价方法，研究提出改革创新措施等。</w:t>
      </w:r>
      <w:r>
        <w:rPr>
          <w:rFonts w:hint="default" w:ascii="黑体" w:hAnsi="黑体" w:eastAsia="黑体" w:cs="黑体"/>
          <w:kern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2、深圳创建国家科创金融改革创新试验区研究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研究内容：</w:t>
      </w:r>
      <w:r>
        <w:rPr>
          <w:rFonts w:hint="default" w:ascii="Times New Roman" w:hAnsi="Times New Roman" w:eastAsia="仿宋_GB2312" w:cs="Times New Roman"/>
          <w:sz w:val="32"/>
          <w:szCs w:val="32"/>
          <w:lang w:eastAsia="zh-CN"/>
        </w:rPr>
        <w:t>研究国家科创金融改革创新试验区的新要求、新任务</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分析我市</w:t>
      </w:r>
      <w:r>
        <w:rPr>
          <w:rFonts w:hint="default" w:ascii="Times New Roman" w:hAnsi="Times New Roman" w:cs="Times New Roman"/>
          <w:sz w:val="32"/>
          <w:szCs w:val="32"/>
          <w:lang w:eastAsia="zh-CN"/>
        </w:rPr>
        <w:t>科创金融</w:t>
      </w:r>
      <w:r>
        <w:rPr>
          <w:rFonts w:hint="default" w:ascii="Times New Roman" w:hAnsi="Times New Roman" w:eastAsia="仿宋_GB2312" w:cs="Times New Roman"/>
          <w:sz w:val="32"/>
          <w:szCs w:val="32"/>
          <w:lang w:eastAsia="zh-CN"/>
        </w:rPr>
        <w:t>发展的现状及面临的问题</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围绕科创金融生态、科创金融服务体系、科创金融深化改革等方面</w:t>
      </w:r>
      <w:r>
        <w:rPr>
          <w:rFonts w:hint="default" w:ascii="Times New Roman" w:hAnsi="Times New Roman" w:cs="Times New Roman"/>
          <w:sz w:val="32"/>
          <w:szCs w:val="32"/>
          <w:lang w:eastAsia="zh-CN"/>
        </w:rPr>
        <w:t>开展研究，</w:t>
      </w:r>
      <w:r>
        <w:rPr>
          <w:rFonts w:hint="default" w:ascii="Times New Roman" w:hAnsi="Times New Roman" w:eastAsia="仿宋_GB2312" w:cs="Times New Roman"/>
          <w:sz w:val="32"/>
          <w:szCs w:val="32"/>
          <w:lang w:eastAsia="zh-CN"/>
        </w:rPr>
        <w:t>提出深圳创建国家科创金融改革创新试验区的</w:t>
      </w:r>
      <w:r>
        <w:rPr>
          <w:rFonts w:hint="default" w:ascii="Times New Roman" w:hAnsi="Times New Roman" w:cs="Times New Roman"/>
          <w:sz w:val="32"/>
          <w:szCs w:val="32"/>
          <w:lang w:eastAsia="zh-CN"/>
        </w:rPr>
        <w:t>实施方案</w:t>
      </w:r>
      <w:r>
        <w:rPr>
          <w:rFonts w:hint="default" w:ascii="Times New Roman" w:hAnsi="Times New Roman" w:eastAsia="仿宋_GB2312" w:cs="Times New Roman"/>
          <w:sz w:val="32"/>
          <w:szCs w:val="32"/>
          <w:lang w:eastAsia="zh-CN"/>
        </w:rPr>
        <w:t>和对策建议。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eastAsia="zh-CN"/>
        </w:rPr>
        <w:t>3、深圳房地产市场稳预期若干问题研究</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2" w:firstLineChars="200"/>
        <w:jc w:val="both"/>
        <w:textAlignment w:val="auto"/>
        <w:rPr>
          <w:rFonts w:hint="default" w:ascii="Times New Roman" w:hAnsi="Times New Roman" w:cs="Times New Roman"/>
          <w:b w:val="0"/>
          <w:bCs/>
          <w:sz w:val="32"/>
          <w:lang w:eastAsia="zh-CN"/>
        </w:rPr>
      </w:pPr>
      <w:r>
        <w:rPr>
          <w:rFonts w:hint="default" w:ascii="Times New Roman" w:hAnsi="Times New Roman" w:cs="Times New Roman"/>
          <w:b/>
          <w:bCs w:val="0"/>
          <w:sz w:val="32"/>
          <w:lang w:eastAsia="zh-CN"/>
        </w:rPr>
        <w:t>研究内容：</w:t>
      </w:r>
      <w:r>
        <w:rPr>
          <w:rFonts w:hint="default" w:ascii="Times New Roman" w:hAnsi="Times New Roman" w:cs="Times New Roman"/>
          <w:b w:val="0"/>
          <w:bCs/>
          <w:sz w:val="32"/>
          <w:lang w:eastAsia="zh-CN"/>
        </w:rPr>
        <w:t>聚焦促进我市房地产业持续回暖的总目标，对行业供需两端面临的突出问题进行系统梳理，深入剖析原因，重点围绕土地供应、财税政策、金融支持、市场规范等方面，提出深圳稳地价、稳房价、稳预期的系列政策建议，打通政策堵点、形成长效机制，促进我市房地产业平稳健康发展。</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2" w:firstLineChars="200"/>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2"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4、吸引世界500强在深设立研发中心路径研究</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firstLine="642" w:firstLineChars="200"/>
        <w:rPr>
          <w:rFonts w:hint="eastAsia" w:ascii="仿宋_GB2312" w:hAnsi="仿宋_GB2312" w:cs="仿宋_GB2312"/>
          <w:b w:val="0"/>
          <w:bCs/>
          <w:sz w:val="32"/>
          <w:lang w:eastAsia="zh-CN"/>
        </w:rPr>
      </w:pPr>
      <w:r>
        <w:rPr>
          <w:rFonts w:hint="eastAsia" w:ascii="楷体_GB2312" w:hAnsi="楷体_GB2312" w:eastAsia="楷体_GB2312" w:cs="楷体_GB2312"/>
          <w:b/>
          <w:bCs/>
          <w:kern w:val="0"/>
          <w:sz w:val="32"/>
          <w:szCs w:val="32"/>
          <w:lang w:val="en-US" w:eastAsia="zh-CN" w:bidi="ar"/>
        </w:rPr>
        <w:t>研究内容：</w:t>
      </w:r>
      <w:r>
        <w:rPr>
          <w:rFonts w:hint="eastAsia" w:ascii="仿宋_GB2312" w:hAnsi="仿宋_GB2312" w:eastAsia="仿宋_GB2312" w:cs="仿宋_GB2312"/>
          <w:b w:val="0"/>
          <w:bCs/>
          <w:sz w:val="32"/>
          <w:szCs w:val="32"/>
          <w:lang w:eastAsia="zh-CN"/>
        </w:rPr>
        <w:t>全面梳理世界</w:t>
      </w:r>
      <w:r>
        <w:rPr>
          <w:rFonts w:hint="eastAsia" w:ascii="仿宋_GB2312" w:hAnsi="仿宋_GB2312" w:eastAsia="仿宋_GB2312" w:cs="仿宋_GB2312"/>
          <w:b w:val="0"/>
          <w:bCs/>
          <w:sz w:val="32"/>
          <w:szCs w:val="32"/>
          <w:lang w:val="en-US" w:eastAsia="zh-CN"/>
        </w:rPr>
        <w:t>500强企业在华</w:t>
      </w:r>
      <w:r>
        <w:rPr>
          <w:rFonts w:hint="default" w:ascii="仿宋_GB2312" w:hAnsi="仿宋_GB2312" w:eastAsia="仿宋_GB2312" w:cs="仿宋_GB2312"/>
          <w:b w:val="0"/>
          <w:bCs/>
          <w:sz w:val="32"/>
          <w:szCs w:val="32"/>
          <w:lang w:eastAsia="zh-CN"/>
        </w:rPr>
        <w:t>、在深</w:t>
      </w:r>
      <w:r>
        <w:rPr>
          <w:rFonts w:hint="eastAsia" w:ascii="仿宋_GB2312" w:hAnsi="仿宋_GB2312" w:eastAsia="仿宋_GB2312" w:cs="仿宋_GB2312"/>
          <w:b w:val="0"/>
          <w:bCs/>
          <w:sz w:val="32"/>
          <w:szCs w:val="32"/>
          <w:lang w:val="en-US" w:eastAsia="zh-CN"/>
        </w:rPr>
        <w:t>设立研发中心</w:t>
      </w:r>
      <w:r>
        <w:rPr>
          <w:rFonts w:hint="default"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lang w:val="en-US" w:eastAsia="zh-CN"/>
        </w:rPr>
        <w:t>现状、</w:t>
      </w:r>
      <w:r>
        <w:rPr>
          <w:rFonts w:hint="eastAsia" w:ascii="仿宋_GB2312" w:hAnsi="仿宋_GB2312" w:eastAsia="仿宋_GB2312" w:cs="仿宋_GB2312"/>
          <w:b w:val="0"/>
          <w:bCs/>
          <w:sz w:val="32"/>
          <w:lang w:eastAsia="zh-CN"/>
        </w:rPr>
        <w:t>趋势</w:t>
      </w:r>
      <w:r>
        <w:rPr>
          <w:rFonts w:hint="default" w:ascii="仿宋_GB2312" w:hAnsi="仿宋_GB2312" w:eastAsia="仿宋_GB2312" w:cs="仿宋_GB2312"/>
          <w:b w:val="0"/>
          <w:bCs/>
          <w:sz w:val="32"/>
          <w:lang w:eastAsia="zh-CN"/>
        </w:rPr>
        <w:t>及</w:t>
      </w:r>
      <w:r>
        <w:rPr>
          <w:rFonts w:hint="eastAsia" w:ascii="仿宋_GB2312" w:hAnsi="仿宋_GB2312" w:eastAsia="仿宋_GB2312" w:cs="仿宋_GB2312"/>
          <w:b w:val="0"/>
          <w:bCs/>
          <w:sz w:val="32"/>
          <w:lang w:eastAsia="zh-CN"/>
        </w:rPr>
        <w:t>遇到的</w:t>
      </w:r>
      <w:r>
        <w:rPr>
          <w:rFonts w:hint="eastAsia" w:ascii="仿宋_GB2312" w:hAnsi="仿宋_GB2312" w:eastAsia="仿宋_GB2312" w:cs="仿宋_GB2312"/>
          <w:b w:val="0"/>
          <w:bCs/>
          <w:sz w:val="32"/>
          <w:szCs w:val="32"/>
          <w:lang w:eastAsia="zh-CN"/>
        </w:rPr>
        <w:t>瓶颈问题，</w:t>
      </w:r>
      <w:r>
        <w:rPr>
          <w:rFonts w:hint="default" w:ascii="仿宋_GB2312" w:hAnsi="仿宋_GB2312" w:eastAsia="仿宋_GB2312" w:cs="仿宋_GB2312"/>
          <w:b w:val="0"/>
          <w:bCs w:val="0"/>
          <w:sz w:val="32"/>
          <w:szCs w:val="32"/>
          <w:lang w:eastAsia="zh-CN"/>
        </w:rPr>
        <w:t>深入</w:t>
      </w:r>
      <w:r>
        <w:rPr>
          <w:rFonts w:hint="eastAsia" w:ascii="仿宋_GB2312" w:hAnsi="仿宋_GB2312" w:eastAsia="仿宋_GB2312" w:cs="仿宋_GB2312"/>
          <w:b w:val="0"/>
          <w:bCs w:val="0"/>
          <w:sz w:val="32"/>
          <w:szCs w:val="32"/>
          <w:lang w:val="en-US" w:eastAsia="zh-CN"/>
        </w:rPr>
        <w:t>剖析</w:t>
      </w:r>
      <w:r>
        <w:rPr>
          <w:rFonts w:hint="default" w:ascii="仿宋_GB2312" w:hAnsi="仿宋_GB2312" w:eastAsia="仿宋_GB2312" w:cs="仿宋_GB2312"/>
          <w:b w:val="0"/>
          <w:bCs w:val="0"/>
          <w:sz w:val="32"/>
          <w:szCs w:val="32"/>
          <w:lang w:eastAsia="zh-CN"/>
        </w:rPr>
        <w:t>跨国公司来深设立</w:t>
      </w:r>
      <w:r>
        <w:rPr>
          <w:rFonts w:hint="eastAsia" w:ascii="仿宋_GB2312" w:hAnsi="仿宋_GB2312" w:eastAsia="仿宋_GB2312" w:cs="仿宋_GB2312"/>
          <w:b w:val="0"/>
          <w:bCs w:val="0"/>
          <w:sz w:val="32"/>
          <w:szCs w:val="32"/>
          <w:lang w:val="en-US" w:eastAsia="zh-CN"/>
        </w:rPr>
        <w:t>研发中心</w:t>
      </w:r>
      <w:r>
        <w:rPr>
          <w:rFonts w:hint="default" w:ascii="仿宋_GB2312" w:hAnsi="仿宋_GB2312" w:eastAsia="仿宋_GB2312" w:cs="仿宋_GB2312"/>
          <w:b w:val="0"/>
          <w:bCs w:val="0"/>
          <w:sz w:val="32"/>
          <w:szCs w:val="32"/>
          <w:lang w:eastAsia="zh-CN"/>
        </w:rPr>
        <w:t>的投资动机、考量因素、</w:t>
      </w:r>
      <w:r>
        <w:rPr>
          <w:rFonts w:hint="eastAsia" w:ascii="仿宋_GB2312" w:hAnsi="仿宋_GB2312" w:eastAsia="仿宋_GB2312" w:cs="仿宋_GB2312"/>
          <w:b w:val="0"/>
          <w:bCs w:val="0"/>
          <w:sz w:val="32"/>
          <w:szCs w:val="32"/>
          <w:lang w:val="en-US" w:eastAsia="zh-CN"/>
        </w:rPr>
        <w:t>政策诉求、制度障碍</w:t>
      </w:r>
      <w:r>
        <w:rPr>
          <w:rFonts w:hint="default"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sz w:val="32"/>
          <w:szCs w:val="32"/>
          <w:lang w:eastAsia="zh-CN"/>
        </w:rPr>
        <w:t>借鉴国内外先进城</w:t>
      </w:r>
      <w:r>
        <w:rPr>
          <w:rFonts w:hint="eastAsia" w:ascii="仿宋_GB2312" w:hAnsi="仿宋_GB2312" w:eastAsia="仿宋_GB2312" w:cs="仿宋_GB2312"/>
          <w:b w:val="0"/>
          <w:bCs/>
          <w:sz w:val="32"/>
          <w:lang w:eastAsia="zh-CN"/>
        </w:rPr>
        <w:t>市吸引外资研发中心落户的经验做法，</w:t>
      </w:r>
      <w:r>
        <w:rPr>
          <w:rFonts w:hint="default" w:ascii="仿宋_GB2312" w:hAnsi="仿宋_GB2312" w:eastAsia="仿宋_GB2312" w:cs="仿宋_GB2312"/>
          <w:sz w:val="32"/>
          <w:szCs w:val="32"/>
          <w:lang w:eastAsia="zh-CN"/>
        </w:rPr>
        <w:t>提出深圳吸引世界500强设立研发机构、提升全球创新资源整合能力</w:t>
      </w:r>
      <w:r>
        <w:rPr>
          <w:rFonts w:hint="eastAsia" w:ascii="仿宋_GB2312" w:hAnsi="仿宋_GB2312" w:eastAsia="仿宋_GB2312" w:cs="仿宋_GB2312"/>
          <w:b w:val="0"/>
          <w:bCs/>
          <w:sz w:val="32"/>
          <w:lang w:eastAsia="zh-CN"/>
        </w:rPr>
        <w:t>的思路举措和政策建议</w:t>
      </w:r>
      <w:r>
        <w:rPr>
          <w:rFonts w:hint="eastAsia" w:ascii="仿宋_GB2312" w:hAnsi="仿宋_GB2312" w:cs="仿宋_GB2312"/>
          <w:b w:val="0"/>
          <w:bCs/>
          <w:sz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2" w:firstLineChars="200"/>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firstLine="642"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5、数字全球化背景下</w:t>
      </w:r>
      <w:r>
        <w:rPr>
          <w:rFonts w:hint="default" w:ascii="仿宋_GB2312" w:hAnsi="仿宋_GB2312" w:cs="仿宋_GB2312"/>
          <w:b/>
          <w:bCs/>
          <w:sz w:val="32"/>
          <w:szCs w:val="32"/>
          <w:lang w:eastAsia="zh-CN"/>
        </w:rPr>
        <w:t>强化</w:t>
      </w:r>
      <w:r>
        <w:rPr>
          <w:rFonts w:hint="eastAsia" w:ascii="仿宋_GB2312" w:hAnsi="仿宋_GB2312" w:eastAsia="仿宋_GB2312" w:cs="仿宋_GB2312"/>
          <w:b/>
          <w:bCs/>
          <w:sz w:val="32"/>
          <w:szCs w:val="32"/>
          <w:lang w:eastAsia="zh-CN"/>
        </w:rPr>
        <w:t>深圳全球竞争力的路径及对策研究</w:t>
      </w:r>
    </w:p>
    <w:p>
      <w:pPr>
        <w:spacing w:line="556" w:lineRule="exact"/>
        <w:ind w:firstLine="642" w:firstLineChars="200"/>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bCs/>
          <w:kern w:val="0"/>
          <w:sz w:val="32"/>
          <w:szCs w:val="32"/>
          <w:lang w:val="en-US" w:eastAsia="zh-CN" w:bidi="ar"/>
        </w:rPr>
        <w:t>研究内容：</w:t>
      </w:r>
      <w:r>
        <w:rPr>
          <w:rFonts w:hint="eastAsia" w:ascii="仿宋_GB2312" w:hAnsi="仿宋_GB2312" w:eastAsia="仿宋_GB2312" w:cs="仿宋_GB2312"/>
          <w:bCs/>
          <w:sz w:val="32"/>
          <w:szCs w:val="32"/>
        </w:rPr>
        <w:t>系统梳理历次经济全球化演进过程及特点，结合当前世界经济格局变动及国家战略布局等内外部环境，剖析深圳在不同发展阶段下发展战略</w:t>
      </w:r>
      <w:r>
        <w:rPr>
          <w:rFonts w:hint="default" w:ascii="仿宋_GB2312" w:hAnsi="仿宋_GB2312" w:eastAsia="仿宋_GB2312" w:cs="仿宋_GB2312"/>
          <w:bCs/>
          <w:sz w:val="32"/>
          <w:szCs w:val="32"/>
        </w:rPr>
        <w:t>、发展</w:t>
      </w:r>
      <w:r>
        <w:rPr>
          <w:rFonts w:hint="eastAsia" w:ascii="仿宋_GB2312" w:hAnsi="仿宋_GB2312" w:eastAsia="仿宋_GB2312" w:cs="仿宋_GB2312"/>
          <w:bCs/>
          <w:sz w:val="32"/>
          <w:szCs w:val="32"/>
        </w:rPr>
        <w:t>机制</w:t>
      </w:r>
      <w:r>
        <w:rPr>
          <w:rFonts w:hint="default" w:ascii="仿宋_GB2312" w:hAnsi="仿宋_GB2312" w:eastAsia="仿宋_GB2312" w:cs="仿宋_GB2312"/>
          <w:bCs/>
          <w:sz w:val="32"/>
          <w:szCs w:val="32"/>
        </w:rPr>
        <w:t>及核心竞争力</w:t>
      </w:r>
      <w:r>
        <w:rPr>
          <w:rFonts w:hint="eastAsia" w:ascii="仿宋_GB2312" w:hAnsi="仿宋_GB2312" w:eastAsia="仿宋_GB2312" w:cs="仿宋_GB2312"/>
          <w:bCs/>
          <w:sz w:val="32"/>
          <w:szCs w:val="32"/>
        </w:rPr>
        <w:t>的差异</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rPr>
        <w:t>分析数字全球化的内涵与外延，</w:t>
      </w:r>
      <w:r>
        <w:rPr>
          <w:rFonts w:hint="eastAsia" w:ascii="仿宋_GB2312" w:hAnsi="仿宋_GB2312" w:eastAsia="仿宋_GB2312" w:cs="仿宋_GB2312"/>
          <w:bCs/>
          <w:sz w:val="32"/>
          <w:szCs w:val="32"/>
          <w:u w:val="none"/>
        </w:rPr>
        <w:t>研</w:t>
      </w:r>
      <w:r>
        <w:rPr>
          <w:rFonts w:hint="eastAsia" w:ascii="仿宋_GB2312" w:hAnsi="仿宋_GB2312" w:eastAsia="仿宋_GB2312" w:cs="仿宋_GB2312"/>
          <w:bCs/>
          <w:sz w:val="32"/>
          <w:szCs w:val="32"/>
        </w:rPr>
        <w:t>究数字全球化背景下城市竞合发展规律和竞争力关键指标体系</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rPr>
        <w:t>对比分析新形势下深圳较全球GDP前20、国内万亿俱乐部城市的优势与短板，</w:t>
      </w:r>
      <w:r>
        <w:rPr>
          <w:rFonts w:hint="default" w:ascii="仿宋_GB2312" w:hAnsi="仿宋_GB2312" w:eastAsia="仿宋_GB2312" w:cs="仿宋_GB2312"/>
          <w:bCs/>
          <w:sz w:val="32"/>
          <w:szCs w:val="32"/>
        </w:rPr>
        <w:t>深入研究</w:t>
      </w:r>
      <w:r>
        <w:rPr>
          <w:rFonts w:hint="default" w:ascii="仿宋_GB2312" w:hAnsi="仿宋_GB2312" w:eastAsia="仿宋_GB2312" w:cs="仿宋_GB2312"/>
          <w:bCs/>
          <w:sz w:val="32"/>
          <w:szCs w:val="32"/>
          <w:u w:val="none"/>
        </w:rPr>
        <w:t>深圳重塑核心竞争力的</w:t>
      </w:r>
      <w:r>
        <w:rPr>
          <w:rFonts w:hint="eastAsia" w:ascii="仿宋_GB2312" w:hAnsi="仿宋_GB2312" w:eastAsia="仿宋_GB2312" w:cs="仿宋_GB2312"/>
          <w:b w:val="0"/>
          <w:bCs w:val="0"/>
          <w:i w:val="0"/>
          <w:iCs w:val="0"/>
          <w:caps w:val="0"/>
          <w:color w:val="000000"/>
          <w:spacing w:val="0"/>
          <w:sz w:val="32"/>
          <w:szCs w:val="32"/>
          <w:u w:val="none"/>
          <w:shd w:val="clear" w:color="auto" w:fill="FFFFFF"/>
        </w:rPr>
        <w:t>新方位、新领域、新平台、新组织、新机制</w:t>
      </w:r>
      <w:r>
        <w:rPr>
          <w:rFonts w:hint="default" w:ascii="仿宋_GB2312" w:hAnsi="仿宋_GB2312" w:eastAsia="仿宋_GB2312" w:cs="仿宋_GB2312"/>
          <w:b w:val="0"/>
          <w:bCs w:val="0"/>
          <w:i w:val="0"/>
          <w:iCs w:val="0"/>
          <w:caps w:val="0"/>
          <w:color w:val="000000"/>
          <w:spacing w:val="0"/>
          <w:sz w:val="32"/>
          <w:szCs w:val="32"/>
          <w:u w:val="none"/>
          <w:shd w:val="clear" w:color="auto" w:fill="FFFFFF"/>
        </w:rPr>
        <w:t>等关键问题，</w:t>
      </w:r>
      <w:r>
        <w:rPr>
          <w:rFonts w:hint="default" w:ascii="仿宋_GB2312" w:hAnsi="仿宋_GB2312" w:eastAsia="仿宋_GB2312" w:cs="仿宋_GB2312"/>
          <w:b w:val="0"/>
          <w:bCs w:val="0"/>
          <w:i w:val="0"/>
          <w:iCs w:val="0"/>
          <w:caps w:val="0"/>
          <w:color w:val="000000"/>
          <w:spacing w:val="0"/>
          <w:sz w:val="32"/>
          <w:szCs w:val="32"/>
          <w:shd w:val="clear" w:color="auto" w:fill="FFFFFF"/>
        </w:rPr>
        <w:t>提出</w:t>
      </w:r>
      <w:r>
        <w:rPr>
          <w:rFonts w:hint="eastAsia" w:ascii="仿宋_GB2312" w:hAnsi="仿宋_GB2312" w:eastAsia="仿宋_GB2312" w:cs="仿宋_GB2312"/>
          <w:bCs/>
          <w:sz w:val="32"/>
          <w:szCs w:val="32"/>
        </w:rPr>
        <w:t>数字全球化背景下深圳提升全球竞争力</w:t>
      </w:r>
      <w:r>
        <w:rPr>
          <w:rFonts w:hint="default" w:ascii="仿宋_GB2312" w:hAnsi="仿宋_GB2312" w:cs="仿宋_GB2312"/>
          <w:b w:val="0"/>
          <w:bCs w:val="0"/>
          <w:i w:val="0"/>
          <w:iCs w:val="0"/>
          <w:caps w:val="0"/>
          <w:color w:val="000000"/>
          <w:spacing w:val="0"/>
          <w:sz w:val="32"/>
          <w:szCs w:val="32"/>
          <w:shd w:val="clear" w:color="auto" w:fill="FFFFFF"/>
        </w:rPr>
        <w:t>的</w:t>
      </w:r>
      <w:r>
        <w:rPr>
          <w:rFonts w:hint="eastAsia" w:ascii="仿宋_GB2312" w:hAnsi="仿宋_GB2312" w:eastAsia="仿宋_GB2312" w:cs="仿宋_GB2312"/>
          <w:bCs/>
          <w:sz w:val="32"/>
          <w:szCs w:val="32"/>
        </w:rPr>
        <w:t>主要路径和政策建议。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val="0"/>
          <w:bCs/>
          <w:sz w:val="32"/>
          <w:lang w:eastAsia="zh-CN"/>
        </w:rPr>
      </w:pPr>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nFKFoN4BAAC+AwAADgAAAAAAAAABACAAAAA0AQAAZHJzL2Uyb0RvYy54bWxQSwUGAAAAAAYA&#10;BgBZAQAAhAUAAAAA&#10;">
              <v:fill on="f" focussize="0,0"/>
              <v:stroke on="f"/>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96B34"/>
    <w:rsid w:val="3FF261C3"/>
    <w:rsid w:val="3FFEFE59"/>
    <w:rsid w:val="4FF7F60B"/>
    <w:rsid w:val="6FDE6908"/>
    <w:rsid w:val="791B4A09"/>
    <w:rsid w:val="7BDD774D"/>
    <w:rsid w:val="7FDB89B2"/>
    <w:rsid w:val="7FFF7A17"/>
    <w:rsid w:val="AF6F5955"/>
    <w:rsid w:val="DEBBD02F"/>
    <w:rsid w:val="EBF7E14A"/>
    <w:rsid w:val="F7DF253A"/>
    <w:rsid w:val="F9FD1C16"/>
    <w:rsid w:val="FFB96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Calibri" w:hAnsi="Calibri" w:eastAsia="仿宋_GB2312" w:cs="Times New Roman"/>
      <w:kern w:val="2"/>
      <w:sz w:val="36"/>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spacing w:line="360" w:lineRule="auto"/>
    </w:pPr>
    <w:rPr>
      <w:rFonts w:eastAsia="宋体"/>
      <w:sz w:val="24"/>
    </w:rPr>
  </w:style>
  <w:style w:type="paragraph" w:customStyle="1" w:styleId="3">
    <w:name w:val="正文文本缩进1"/>
    <w:basedOn w:val="1"/>
    <w:qFormat/>
    <w:uiPriority w:val="0"/>
    <w:pPr>
      <w:spacing w:line="150" w:lineRule="atLeast"/>
      <w:ind w:firstLine="420"/>
      <w:textAlignment w:val="baseline"/>
    </w:pPr>
    <w:rPr>
      <w:rFonts w:ascii="Times New Roman" w:hAnsi="Times New Roman"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2022-08-10T18:01:00Z</dcterms:created>
  <dc:creator>fzyjzx</dc:creator>
  <cp:lastModifiedBy>fzyjzx</cp:lastModifiedBy>
  <cp:lastPrinted>2022-08-12T22:35:00Z</cp:lastPrinted>
  <dcterms:modified xsi:type="dcterms:W3CDTF">2022-08-12T14:58:10Z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