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20" w:lineRule="exact"/>
        <w:jc w:val="both"/>
        <w:rPr>
          <w:rFonts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附件1</w:t>
      </w:r>
    </w:p>
    <w:p>
      <w:pPr>
        <w:pStyle w:val="4"/>
        <w:widowControl/>
        <w:spacing w:beforeAutospacing="0" w:afterAutospacing="0" w:line="620" w:lineRule="exact"/>
        <w:jc w:val="both"/>
        <w:rPr>
          <w:rFonts w:ascii="黑体" w:hAnsi="黑体" w:eastAsia="黑体" w:cs="黑体"/>
          <w:color w:val="000000"/>
          <w:sz w:val="32"/>
          <w:szCs w:val="32"/>
        </w:rPr>
      </w:pPr>
    </w:p>
    <w:p>
      <w:pPr>
        <w:pStyle w:val="4"/>
        <w:widowControl/>
        <w:spacing w:beforeAutospacing="0" w:afterAutospacing="0" w:line="600" w:lineRule="exact"/>
        <w:jc w:val="center"/>
        <w:outlineLvl w:val="0"/>
        <w:rPr>
          <w:rFonts w:ascii="宋体" w:hAnsi="宋体" w:eastAsia="宋体" w:cs="宋体"/>
          <w:b/>
          <w:bCs/>
          <w:sz w:val="44"/>
          <w:szCs w:val="44"/>
          <w:shd w:val="clear" w:color="auto" w:fill="FFFFFF"/>
        </w:rPr>
      </w:pPr>
      <w:r>
        <w:rPr>
          <w:rFonts w:hint="eastAsia" w:ascii="宋体" w:hAnsi="宋体" w:eastAsia="宋体" w:cs="宋体"/>
          <w:b/>
          <w:bCs/>
          <w:sz w:val="44"/>
          <w:szCs w:val="44"/>
          <w:shd w:val="clear" w:color="auto" w:fill="FFFFFF"/>
        </w:rPr>
        <w:t>盐田区发展研究中心2020年重点</w:t>
      </w:r>
      <w:r>
        <w:rPr>
          <w:rFonts w:hint="eastAsia" w:ascii="宋体" w:hAnsi="宋体" w:eastAsia="宋体" w:cs="宋体"/>
          <w:b/>
          <w:bCs/>
          <w:sz w:val="44"/>
          <w:szCs w:val="44"/>
          <w:shd w:val="clear" w:color="auto" w:fill="FFFFFF"/>
          <w:lang w:eastAsia="zh-CN"/>
        </w:rPr>
        <w:t>委托</w:t>
      </w:r>
      <w:r>
        <w:rPr>
          <w:rFonts w:hint="eastAsia" w:ascii="宋体" w:hAnsi="宋体" w:eastAsia="宋体" w:cs="宋体"/>
          <w:b/>
          <w:bCs/>
          <w:sz w:val="44"/>
          <w:szCs w:val="44"/>
          <w:shd w:val="clear" w:color="auto" w:fill="FFFFFF"/>
        </w:rPr>
        <w:t>课题计划</w:t>
      </w:r>
    </w:p>
    <w:p>
      <w:pPr>
        <w:spacing w:line="600" w:lineRule="exact"/>
        <w:ind w:firstLine="643" w:firstLineChars="200"/>
        <w:rPr>
          <w:rFonts w:ascii="仿宋_GB2312" w:hAnsi="仿宋_GB2312" w:eastAsia="仿宋_GB2312" w:cs="仿宋_GB2312"/>
          <w:b/>
          <w:bCs/>
          <w:sz w:val="32"/>
          <w:szCs w:val="32"/>
        </w:rPr>
      </w:pP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课题</w:t>
      </w:r>
      <w:r>
        <w:rPr>
          <w:rFonts w:hint="eastAsia" w:ascii="黑体" w:hAnsi="黑体" w:eastAsia="黑体" w:cs="黑体"/>
          <w:bCs/>
          <w:sz w:val="32"/>
          <w:szCs w:val="32"/>
          <w:lang w:eastAsia="zh-CN"/>
        </w:rPr>
        <w:t>一</w:t>
      </w:r>
      <w:r>
        <w:rPr>
          <w:rFonts w:hint="eastAsia" w:ascii="黑体" w:hAnsi="黑体" w:eastAsia="黑体" w:cs="黑体"/>
          <w:bCs/>
          <w:sz w:val="32"/>
          <w:szCs w:val="32"/>
        </w:rPr>
        <w:t>：</w:t>
      </w:r>
    </w:p>
    <w:p>
      <w:pPr>
        <w:spacing w:line="600" w:lineRule="exact"/>
        <w:ind w:firstLine="643" w:firstLineChars="200"/>
        <w:rPr>
          <w:rFonts w:ascii="仿宋_GB2312" w:hAnsi="仿宋_GB2312" w:eastAsia="仿宋_GB2312" w:cs="仿宋_GB2312"/>
          <w:b/>
          <w:sz w:val="32"/>
          <w:szCs w:val="32"/>
        </w:rPr>
      </w:pPr>
      <w:r>
        <w:rPr>
          <w:rFonts w:hint="eastAsia" w:ascii="仿宋_GB2312" w:hAnsi="黑体" w:eastAsia="仿宋_GB2312"/>
          <w:b/>
          <w:sz w:val="32"/>
          <w:szCs w:val="32"/>
        </w:rPr>
        <w:t>课题名称：</w:t>
      </w:r>
      <w:r>
        <w:rPr>
          <w:rFonts w:hint="eastAsia" w:ascii="仿宋_GB2312" w:hAnsi="仿宋_GB2312" w:eastAsia="仿宋_GB2312" w:cs="仿宋_GB2312"/>
          <w:b/>
          <w:sz w:val="32"/>
          <w:szCs w:val="32"/>
        </w:rPr>
        <w:t>《探索盐田临港自由贸易新片区研究》</w:t>
      </w:r>
    </w:p>
    <w:p>
      <w:pPr>
        <w:spacing w:line="60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研究方向：</w:t>
      </w:r>
      <w:r>
        <w:rPr>
          <w:rFonts w:hint="eastAsia" w:ascii="仿宋_GB2312" w:hAnsi="仿宋_GB2312" w:eastAsia="仿宋_GB2312" w:cs="仿宋_GB2312"/>
          <w:sz w:val="32"/>
          <w:szCs w:val="32"/>
        </w:rPr>
        <w:t>盐田拥有建设自由贸易区（港）优越的基础环境，开展探索盐田临港自由贸易新片区研究，精准目标定位、聚焦政策创新，充分参照借鉴中国（上海）自由贸易试验区临港新片区模式，打造深圳建设先行示范区新的增长极，为其纳入省级综合改革试点范围、申报国家“十四五”规划夯实基础。</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有关要求：</w:t>
      </w:r>
      <w:r>
        <w:rPr>
          <w:rFonts w:hint="eastAsia" w:ascii="仿宋_GB2312" w:hAnsi="仿宋" w:eastAsia="仿宋_GB2312"/>
          <w:sz w:val="32"/>
          <w:szCs w:val="32"/>
        </w:rPr>
        <w:t>以上海临港自由贸易新片区为案例，充分研究其发展模式和路径，并总结其可借鉴之处；明晰盐田临港自由贸易新片区的政策需求清单、发展</w:t>
      </w:r>
      <w:r>
        <w:rPr>
          <w:rFonts w:hint="eastAsia" w:ascii="仿宋_GB2312" w:hAnsi="仿宋" w:eastAsia="仿宋_GB2312"/>
          <w:sz w:val="32"/>
          <w:szCs w:val="32"/>
          <w:lang w:eastAsia="zh-CN"/>
        </w:rPr>
        <w:t>方向</w:t>
      </w:r>
      <w:r>
        <w:rPr>
          <w:rFonts w:hint="eastAsia" w:ascii="仿宋_GB2312" w:hAnsi="仿宋" w:eastAsia="仿宋_GB2312"/>
          <w:sz w:val="32"/>
          <w:szCs w:val="32"/>
        </w:rPr>
        <w:t>和实施路径</w:t>
      </w:r>
      <w:r>
        <w:rPr>
          <w:rFonts w:hint="eastAsia" w:ascii="仿宋_GB2312" w:hAnsi="仿宋" w:eastAsia="仿宋_GB2312"/>
          <w:sz w:val="32"/>
          <w:szCs w:val="32"/>
          <w:lang w:eastAsia="zh-CN"/>
        </w:rPr>
        <w:t>；课题最终成果需形成盐田临港自由贸易新片区研究报告和总体方案</w:t>
      </w:r>
      <w:r>
        <w:rPr>
          <w:rFonts w:hint="eastAsia" w:ascii="仿宋_GB2312" w:hAnsi="仿宋" w:eastAsia="仿宋_GB2312"/>
          <w:sz w:val="32"/>
          <w:szCs w:val="32"/>
        </w:rPr>
        <w:t>。</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预算金额：</w:t>
      </w:r>
      <w:r>
        <w:rPr>
          <w:rFonts w:hint="eastAsia" w:ascii="仿宋_GB2312" w:hAnsi="仿宋" w:eastAsia="仿宋_GB2312"/>
          <w:sz w:val="32"/>
          <w:szCs w:val="32"/>
          <w:lang w:val="en-US" w:eastAsia="zh-CN"/>
        </w:rPr>
        <w:t>50</w:t>
      </w:r>
      <w:r>
        <w:rPr>
          <w:rFonts w:hint="eastAsia" w:ascii="仿宋_GB2312" w:hAnsi="仿宋" w:eastAsia="仿宋_GB2312"/>
          <w:sz w:val="32"/>
          <w:szCs w:val="32"/>
        </w:rPr>
        <w:t>万元（人民币）以内（含评审费）</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研究起止时间：</w:t>
      </w:r>
      <w:r>
        <w:rPr>
          <w:rFonts w:hint="eastAsia" w:ascii="仿宋_GB2312" w:hAnsi="黑体" w:eastAsia="仿宋_GB2312"/>
          <w:sz w:val="32"/>
          <w:szCs w:val="32"/>
        </w:rPr>
        <w:t>自合同签订日起到2020年10月</w:t>
      </w:r>
      <w:r>
        <w:rPr>
          <w:rFonts w:hint="eastAsia" w:ascii="仿宋_GB2312" w:hAnsi="黑体" w:eastAsia="仿宋_GB2312"/>
          <w:sz w:val="32"/>
          <w:szCs w:val="32"/>
          <w:lang w:val="en-US" w:eastAsia="zh-CN"/>
        </w:rPr>
        <w:t>31</w:t>
      </w:r>
      <w:r>
        <w:rPr>
          <w:rFonts w:hint="eastAsia" w:ascii="仿宋_GB2312" w:hAnsi="黑体" w:eastAsia="仿宋_GB2312"/>
          <w:sz w:val="32"/>
          <w:szCs w:val="32"/>
        </w:rPr>
        <w:t>日</w:t>
      </w:r>
    </w:p>
    <w:p>
      <w:pPr>
        <w:spacing w:line="600" w:lineRule="exact"/>
        <w:ind w:firstLine="640" w:firstLineChars="200"/>
        <w:rPr>
          <w:rFonts w:ascii="仿宋_GB2312" w:hAnsi="黑体" w:eastAsia="仿宋_GB2312"/>
          <w:sz w:val="32"/>
          <w:szCs w:val="32"/>
        </w:rPr>
      </w:pP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课题</w:t>
      </w:r>
      <w:r>
        <w:rPr>
          <w:rFonts w:hint="eastAsia" w:ascii="黑体" w:hAnsi="黑体" w:eastAsia="黑体" w:cs="黑体"/>
          <w:bCs/>
          <w:sz w:val="32"/>
          <w:szCs w:val="32"/>
          <w:lang w:eastAsia="zh-CN"/>
        </w:rPr>
        <w:t>二</w:t>
      </w:r>
      <w:r>
        <w:rPr>
          <w:rFonts w:hint="eastAsia" w:ascii="黑体" w:hAnsi="黑体" w:eastAsia="黑体" w:cs="黑体"/>
          <w:bCs/>
          <w:sz w:val="32"/>
          <w:szCs w:val="32"/>
        </w:rPr>
        <w:t>：</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课题名称：《“产业兴盐”发展策略研究》</w:t>
      </w:r>
    </w:p>
    <w:p>
      <w:pPr>
        <w:spacing w:line="60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研究方向：</w:t>
      </w:r>
      <w:r>
        <w:rPr>
          <w:rFonts w:hint="eastAsia" w:ascii="仿宋_GB2312" w:hAnsi="仿宋_GB2312" w:eastAsia="仿宋_GB2312" w:cs="仿宋_GB2312"/>
          <w:sz w:val="32"/>
          <w:szCs w:val="32"/>
        </w:rPr>
        <w:t>坚定不移地贯彻实施“产业兴盐”战略是盐田创建宜居宜业宜游的现代化国际化创新型滨海城区的首要任务。基于此，应充分研判“产业兴盐”战略实施过程中所存在的优劣势，借鉴相关产业发展典型经验，通过深入研究提出符合“产业兴盐”战略实施的发展策略。</w:t>
      </w:r>
    </w:p>
    <w:p>
      <w:pPr>
        <w:spacing w:line="600" w:lineRule="exact"/>
        <w:ind w:firstLine="643" w:firstLineChars="200"/>
        <w:rPr>
          <w:rFonts w:hint="eastAsia" w:ascii="仿宋_GB2312" w:hAnsi="黑体" w:eastAsia="仿宋_GB2312"/>
          <w:b/>
          <w:sz w:val="32"/>
          <w:szCs w:val="32"/>
        </w:rPr>
      </w:pPr>
      <w:r>
        <w:rPr>
          <w:rFonts w:hint="eastAsia" w:ascii="仿宋_GB2312" w:hAnsi="仿宋_GB2312" w:eastAsia="仿宋_GB2312" w:cs="仿宋_GB2312"/>
          <w:b/>
          <w:sz w:val="32"/>
          <w:szCs w:val="32"/>
        </w:rPr>
        <w:t>有关要求：</w:t>
      </w:r>
      <w:r>
        <w:rPr>
          <w:rFonts w:hint="eastAsia" w:ascii="仿宋_GB2312" w:hAnsi="仿宋_GB2312" w:eastAsia="仿宋_GB2312" w:cs="仿宋_GB2312"/>
          <w:sz w:val="32"/>
          <w:szCs w:val="32"/>
        </w:rPr>
        <w:t>对“产业兴盐”战略现有实施效果进行评估，归纳总结其优劣势；寻找能够助推“产业兴盐”战略实施的理论依据（框架、模型）；提出盐田区未来产业发展方向；围绕实施路径和举措，提出可操作性的“产业兴盐”策略。</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预算金额：</w:t>
      </w:r>
      <w:r>
        <w:rPr>
          <w:rFonts w:hint="eastAsia" w:ascii="仿宋_GB2312" w:hAnsi="仿宋" w:eastAsia="仿宋_GB2312"/>
          <w:sz w:val="32"/>
          <w:szCs w:val="32"/>
          <w:lang w:val="en-US" w:eastAsia="zh-CN"/>
        </w:rPr>
        <w:t>30</w:t>
      </w:r>
      <w:r>
        <w:rPr>
          <w:rFonts w:hint="eastAsia" w:ascii="仿宋_GB2312" w:hAnsi="仿宋" w:eastAsia="仿宋_GB2312"/>
          <w:sz w:val="32"/>
          <w:szCs w:val="32"/>
        </w:rPr>
        <w:t>万元（人民币）以内（含评审费）</w:t>
      </w:r>
    </w:p>
    <w:p>
      <w:pPr>
        <w:spacing w:line="600"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研究起止时间：</w:t>
      </w:r>
      <w:r>
        <w:rPr>
          <w:rFonts w:hint="eastAsia" w:ascii="仿宋_GB2312" w:hAnsi="黑体" w:eastAsia="仿宋_GB2312"/>
          <w:sz w:val="32"/>
          <w:szCs w:val="32"/>
        </w:rPr>
        <w:t>自合同签订日起到2020年10月</w:t>
      </w:r>
      <w:r>
        <w:rPr>
          <w:rFonts w:hint="eastAsia" w:ascii="仿宋_GB2312" w:hAnsi="黑体" w:eastAsia="仿宋_GB2312"/>
          <w:sz w:val="32"/>
          <w:szCs w:val="32"/>
          <w:lang w:val="en-US" w:eastAsia="zh-CN"/>
        </w:rPr>
        <w:t>31</w:t>
      </w:r>
      <w:r>
        <w:rPr>
          <w:rFonts w:hint="eastAsia" w:ascii="仿宋_GB2312" w:hAnsi="黑体" w:eastAsia="仿宋_GB2312"/>
          <w:sz w:val="32"/>
          <w:szCs w:val="32"/>
        </w:rPr>
        <w:t>日</w:t>
      </w:r>
    </w:p>
    <w:p>
      <w:pPr>
        <w:spacing w:line="600" w:lineRule="exact"/>
        <w:ind w:firstLine="640" w:firstLineChars="200"/>
        <w:rPr>
          <w:rFonts w:hint="eastAsia" w:ascii="仿宋_GB2312" w:hAnsi="黑体" w:eastAsia="仿宋_GB2312"/>
          <w:sz w:val="32"/>
          <w:szCs w:val="32"/>
        </w:rPr>
      </w:pP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课题</w:t>
      </w:r>
      <w:r>
        <w:rPr>
          <w:rFonts w:hint="eastAsia" w:ascii="黑体" w:hAnsi="黑体" w:eastAsia="黑体" w:cs="黑体"/>
          <w:bCs/>
          <w:sz w:val="32"/>
          <w:szCs w:val="32"/>
          <w:lang w:eastAsia="zh-CN"/>
        </w:rPr>
        <w:t>三</w:t>
      </w:r>
      <w:r>
        <w:rPr>
          <w:rFonts w:hint="eastAsia" w:ascii="黑体" w:hAnsi="黑体" w:eastAsia="黑体" w:cs="黑体"/>
          <w:bCs/>
          <w:sz w:val="32"/>
          <w:szCs w:val="32"/>
        </w:rPr>
        <w:t>：</w:t>
      </w:r>
    </w:p>
    <w:p>
      <w:pPr>
        <w:spacing w:line="600" w:lineRule="exact"/>
        <w:ind w:firstLine="643" w:firstLineChars="200"/>
        <w:rPr>
          <w:rFonts w:ascii="仿宋_GB2312" w:hAnsi="仿宋_GB2312" w:eastAsia="仿宋_GB2312" w:cs="仿宋_GB2312"/>
          <w:b/>
          <w:sz w:val="32"/>
          <w:szCs w:val="32"/>
        </w:rPr>
      </w:pPr>
      <w:r>
        <w:rPr>
          <w:rFonts w:hint="eastAsia" w:ascii="仿宋_GB2312" w:hAnsi="黑体" w:eastAsia="仿宋_GB2312"/>
          <w:b/>
          <w:sz w:val="32"/>
          <w:szCs w:val="32"/>
        </w:rPr>
        <w:t>课题名称：</w:t>
      </w:r>
      <w:r>
        <w:rPr>
          <w:rFonts w:hint="eastAsia" w:ascii="仿宋_GB2312" w:hAnsi="仿宋_GB2312" w:eastAsia="仿宋_GB2312" w:cs="仿宋_GB2312"/>
          <w:b/>
          <w:sz w:val="32"/>
          <w:szCs w:val="32"/>
        </w:rPr>
        <w:t>《盐田区生态制度创新研究》</w:t>
      </w:r>
    </w:p>
    <w:p>
      <w:pPr>
        <w:spacing w:line="60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研究方向：</w:t>
      </w:r>
      <w:r>
        <w:rPr>
          <w:rFonts w:hint="eastAsia" w:ascii="仿宋_GB2312" w:hAnsi="仿宋_GB2312" w:eastAsia="仿宋_GB2312" w:cs="仿宋_GB2312"/>
          <w:sz w:val="32"/>
          <w:szCs w:val="32"/>
        </w:rPr>
        <w:t>开展盐田区生态制度创新研究，旨在通过加快建设生态系统总值和生态资产核算应用试验区、探索建立企业碳币激励机制、争取国家绿色金融改革创新政策试点、探索环境污染强制责任保险制度等方面做出示范，加快建成国家生态文明先行示范区。</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有关要求：</w:t>
      </w:r>
      <w:r>
        <w:rPr>
          <w:rFonts w:hint="eastAsia" w:ascii="仿宋_GB2312" w:hAnsi="仿宋" w:eastAsia="仿宋_GB2312"/>
          <w:sz w:val="32"/>
          <w:szCs w:val="32"/>
        </w:rPr>
        <w:t>课题需对盐田现有的生态制度进行评估，充分研判其中的优劣之处，并根据盐田实际情况，以先行示范的理念为引领，对盐田生态制度加以创新；课题最终需形成较好的转化路径，</w:t>
      </w:r>
      <w:r>
        <w:rPr>
          <w:rFonts w:hint="eastAsia" w:ascii="仿宋_GB2312" w:hAnsi="仿宋" w:eastAsia="仿宋_GB2312"/>
          <w:sz w:val="32"/>
          <w:szCs w:val="32"/>
          <w:lang w:eastAsia="zh-CN"/>
        </w:rPr>
        <w:t>提出的</w:t>
      </w:r>
      <w:r>
        <w:rPr>
          <w:rFonts w:hint="eastAsia" w:ascii="仿宋_GB2312" w:hAnsi="仿宋" w:eastAsia="仿宋_GB2312"/>
          <w:sz w:val="32"/>
          <w:szCs w:val="32"/>
        </w:rPr>
        <w:t>重点项目</w:t>
      </w:r>
      <w:r>
        <w:rPr>
          <w:rFonts w:hint="eastAsia" w:ascii="仿宋_GB2312" w:hAnsi="仿宋" w:eastAsia="仿宋_GB2312"/>
          <w:sz w:val="32"/>
          <w:szCs w:val="32"/>
          <w:lang w:eastAsia="zh-CN"/>
        </w:rPr>
        <w:t>需</w:t>
      </w:r>
      <w:r>
        <w:rPr>
          <w:rFonts w:hint="eastAsia" w:ascii="仿宋_GB2312" w:hAnsi="仿宋" w:eastAsia="仿宋_GB2312"/>
          <w:sz w:val="32"/>
          <w:szCs w:val="32"/>
        </w:rPr>
        <w:t>具备一定的落地性和可操作性。</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预算金额：</w:t>
      </w:r>
      <w:r>
        <w:rPr>
          <w:rFonts w:hint="eastAsia" w:ascii="仿宋_GB2312" w:hAnsi="仿宋" w:eastAsia="仿宋_GB2312"/>
          <w:sz w:val="32"/>
          <w:szCs w:val="32"/>
          <w:lang w:val="en-US" w:eastAsia="zh-CN"/>
        </w:rPr>
        <w:t>30</w:t>
      </w:r>
      <w:r>
        <w:rPr>
          <w:rFonts w:hint="eastAsia" w:ascii="仿宋_GB2312" w:hAnsi="仿宋" w:eastAsia="仿宋_GB2312"/>
          <w:sz w:val="32"/>
          <w:szCs w:val="32"/>
        </w:rPr>
        <w:t>万元（人民币）以内（含评审费）</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研究起止时间：</w:t>
      </w:r>
      <w:r>
        <w:rPr>
          <w:rFonts w:hint="eastAsia" w:ascii="仿宋_GB2312" w:hAnsi="黑体" w:eastAsia="仿宋_GB2312"/>
          <w:sz w:val="32"/>
          <w:szCs w:val="32"/>
        </w:rPr>
        <w:t>自合同签订日起到2020年10月</w:t>
      </w:r>
      <w:r>
        <w:rPr>
          <w:rFonts w:hint="eastAsia" w:ascii="仿宋_GB2312" w:hAnsi="黑体" w:eastAsia="仿宋_GB2312"/>
          <w:sz w:val="32"/>
          <w:szCs w:val="32"/>
          <w:lang w:val="en-US" w:eastAsia="zh-CN"/>
        </w:rPr>
        <w:t>31</w:t>
      </w:r>
      <w:r>
        <w:rPr>
          <w:rFonts w:hint="eastAsia" w:ascii="仿宋_GB2312" w:hAnsi="黑体" w:eastAsia="仿宋_GB2312"/>
          <w:sz w:val="32"/>
          <w:szCs w:val="32"/>
        </w:rPr>
        <w:t>日</w:t>
      </w:r>
    </w:p>
    <w:p>
      <w:pPr>
        <w:spacing w:line="600" w:lineRule="exact"/>
        <w:ind w:firstLine="640" w:firstLineChars="200"/>
        <w:rPr>
          <w:rFonts w:ascii="仿宋_GB2312" w:hAnsi="黑体" w:eastAsia="仿宋_GB2312"/>
          <w:sz w:val="32"/>
          <w:szCs w:val="32"/>
        </w:rPr>
      </w:pP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课题</w:t>
      </w:r>
      <w:r>
        <w:rPr>
          <w:rFonts w:hint="eastAsia" w:ascii="黑体" w:hAnsi="黑体" w:eastAsia="黑体" w:cs="黑体"/>
          <w:bCs/>
          <w:sz w:val="32"/>
          <w:szCs w:val="32"/>
          <w:lang w:eastAsia="zh-CN"/>
        </w:rPr>
        <w:t>四</w:t>
      </w:r>
      <w:r>
        <w:rPr>
          <w:rFonts w:hint="eastAsia" w:ascii="黑体" w:hAnsi="黑体" w:eastAsia="黑体" w:cs="黑体"/>
          <w:bCs/>
          <w:sz w:val="32"/>
          <w:szCs w:val="32"/>
        </w:rPr>
        <w:t>：</w:t>
      </w:r>
    </w:p>
    <w:p>
      <w:pPr>
        <w:spacing w:line="60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课题名称：</w:t>
      </w:r>
      <w:r>
        <w:rPr>
          <w:rFonts w:hint="eastAsia" w:ascii="仿宋_GB2312" w:hAnsi="仿宋_GB2312" w:eastAsia="仿宋_GB2312" w:cs="仿宋_GB2312"/>
          <w:b/>
          <w:bCs/>
          <w:sz w:val="32"/>
          <w:szCs w:val="32"/>
        </w:rPr>
        <w:t>《对标西雅图、悉尼，完善和提升盐田城市功能研究》</w:t>
      </w:r>
    </w:p>
    <w:p>
      <w:pPr>
        <w:spacing w:line="60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研究方向：</w:t>
      </w:r>
      <w:r>
        <w:rPr>
          <w:rFonts w:hint="eastAsia" w:ascii="仿宋_GB2312" w:hAnsi="仿宋_GB2312" w:eastAsia="仿宋_GB2312" w:cs="仿宋_GB2312"/>
          <w:sz w:val="32"/>
          <w:szCs w:val="32"/>
        </w:rPr>
        <w:t>西雅图和悉尼两座现代化国际化城市与盐田拥有相似的地理地貌、产业定位、城市氛围，对盐田发展具有重大参考意义。通过开展综合研究，对照盐田与两座城市之间在城市功能方面的差异和差距，</w:t>
      </w:r>
      <w:r>
        <w:rPr>
          <w:rFonts w:hint="eastAsia" w:ascii="仿宋_GB2312" w:hAnsi="仿宋_GB2312" w:eastAsia="仿宋_GB2312" w:cs="仿宋_GB2312"/>
          <w:sz w:val="32"/>
          <w:szCs w:val="32"/>
          <w:lang w:eastAsia="zh-CN"/>
        </w:rPr>
        <w:t>总结国际先进滨海城市的发展特质，</w:t>
      </w:r>
      <w:r>
        <w:rPr>
          <w:rFonts w:hint="eastAsia" w:ascii="仿宋_GB2312" w:hAnsi="仿宋_GB2312" w:eastAsia="仿宋_GB2312" w:cs="仿宋_GB2312"/>
          <w:sz w:val="32"/>
          <w:szCs w:val="32"/>
        </w:rPr>
        <w:t>寻找值得盐田参考借鉴的城市功能定位、产业项目布局、可持续发展政策，探索适合盐田加快建成现代化国际化创新型滨海城区的路径。</w:t>
      </w:r>
    </w:p>
    <w:p>
      <w:pPr>
        <w:spacing w:line="600" w:lineRule="exact"/>
        <w:ind w:firstLine="643" w:firstLineChars="200"/>
        <w:rPr>
          <w:rFonts w:hint="eastAsia" w:ascii="仿宋_GB2312" w:hAnsi="黑体" w:eastAsia="仿宋_GB2312"/>
          <w:b/>
          <w:sz w:val="32"/>
          <w:szCs w:val="32"/>
        </w:rPr>
      </w:pPr>
      <w:r>
        <w:rPr>
          <w:rFonts w:hint="eastAsia" w:ascii="仿宋_GB2312" w:hAnsi="仿宋_GB2312" w:eastAsia="仿宋_GB2312" w:cs="仿宋_GB2312"/>
          <w:b/>
          <w:sz w:val="32"/>
          <w:szCs w:val="32"/>
        </w:rPr>
        <w:t>有关要求：</w:t>
      </w:r>
      <w:r>
        <w:rPr>
          <w:rFonts w:hint="eastAsia" w:ascii="仿宋_GB2312" w:hAnsi="仿宋" w:eastAsia="仿宋_GB2312"/>
          <w:sz w:val="32"/>
          <w:szCs w:val="32"/>
        </w:rPr>
        <w:t>对西雅图和悉尼这两座对标城市的现状、功能、产业、规划、发展理念等有深入了解；</w:t>
      </w:r>
      <w:r>
        <w:rPr>
          <w:rFonts w:hint="eastAsia" w:ascii="仿宋_GB2312" w:hAnsi="仿宋" w:eastAsia="仿宋_GB2312"/>
          <w:sz w:val="32"/>
          <w:szCs w:val="32"/>
          <w:lang w:eastAsia="zh-CN"/>
        </w:rPr>
        <w:t>提炼总结国际滨海城市（城区）的特质；</w:t>
      </w:r>
      <w:r>
        <w:rPr>
          <w:rFonts w:hint="eastAsia" w:ascii="仿宋_GB2312" w:hAnsi="仿宋" w:eastAsia="仿宋_GB2312"/>
          <w:sz w:val="32"/>
          <w:szCs w:val="32"/>
        </w:rPr>
        <w:t>能够有效寻找盐田的可借鉴之处及相关实现路径；课题需赴现场开展实地调研工作。</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预算金额：</w:t>
      </w:r>
      <w:r>
        <w:rPr>
          <w:rFonts w:hint="eastAsia" w:ascii="仿宋_GB2312" w:hAnsi="仿宋" w:eastAsia="仿宋_GB2312"/>
          <w:sz w:val="32"/>
          <w:szCs w:val="32"/>
          <w:lang w:val="en-US" w:eastAsia="zh-CN"/>
        </w:rPr>
        <w:t>50</w:t>
      </w:r>
      <w:r>
        <w:rPr>
          <w:rFonts w:hint="eastAsia" w:ascii="仿宋_GB2312" w:hAnsi="仿宋" w:eastAsia="仿宋_GB2312"/>
          <w:sz w:val="32"/>
          <w:szCs w:val="32"/>
        </w:rPr>
        <w:t>万元（人民币）以内（含评审费）</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研究起止时间：</w:t>
      </w:r>
      <w:r>
        <w:rPr>
          <w:rFonts w:hint="eastAsia" w:ascii="仿宋_GB2312" w:hAnsi="黑体" w:eastAsia="仿宋_GB2312"/>
          <w:sz w:val="32"/>
          <w:szCs w:val="32"/>
        </w:rPr>
        <w:t>自合同签订日起到2020年10月</w:t>
      </w:r>
      <w:r>
        <w:rPr>
          <w:rFonts w:hint="eastAsia" w:ascii="仿宋_GB2312" w:hAnsi="黑体" w:eastAsia="仿宋_GB2312"/>
          <w:sz w:val="32"/>
          <w:szCs w:val="32"/>
          <w:lang w:val="en-US" w:eastAsia="zh-CN"/>
        </w:rPr>
        <w:t>31</w:t>
      </w:r>
      <w:r>
        <w:rPr>
          <w:rFonts w:hint="eastAsia" w:ascii="仿宋_GB2312" w:hAnsi="黑体" w:eastAsia="仿宋_GB2312"/>
          <w:sz w:val="32"/>
          <w:szCs w:val="32"/>
        </w:rPr>
        <w:t>日</w:t>
      </w:r>
    </w:p>
    <w:p>
      <w:pPr>
        <w:spacing w:line="600" w:lineRule="exact"/>
        <w:ind w:firstLine="640" w:firstLineChars="200"/>
        <w:rPr>
          <w:rFonts w:ascii="仿宋_GB2312" w:hAnsi="黑体" w:eastAsia="仿宋_GB2312"/>
          <w:sz w:val="32"/>
          <w:szCs w:val="32"/>
        </w:rPr>
      </w:pP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课题</w:t>
      </w:r>
      <w:r>
        <w:rPr>
          <w:rFonts w:hint="eastAsia" w:ascii="黑体" w:hAnsi="黑体" w:eastAsia="黑体" w:cs="黑体"/>
          <w:bCs/>
          <w:sz w:val="32"/>
          <w:szCs w:val="32"/>
          <w:lang w:eastAsia="zh-CN"/>
        </w:rPr>
        <w:t>五</w:t>
      </w:r>
      <w:r>
        <w:rPr>
          <w:rFonts w:hint="eastAsia" w:ascii="黑体" w:hAnsi="黑体" w:eastAsia="黑体" w:cs="黑体"/>
          <w:bCs/>
          <w:sz w:val="32"/>
          <w:szCs w:val="32"/>
        </w:rPr>
        <w:t>：</w:t>
      </w:r>
    </w:p>
    <w:p>
      <w:pPr>
        <w:spacing w:line="600" w:lineRule="exact"/>
        <w:ind w:firstLine="643" w:firstLineChars="200"/>
        <w:rPr>
          <w:rFonts w:ascii="仿宋_GB2312" w:hAnsi="仿宋_GB2312" w:eastAsia="仿宋_GB2312" w:cs="仿宋_GB2312"/>
          <w:b/>
          <w:sz w:val="32"/>
          <w:szCs w:val="32"/>
        </w:rPr>
      </w:pPr>
      <w:r>
        <w:rPr>
          <w:rFonts w:hint="eastAsia" w:ascii="仿宋_GB2312" w:hAnsi="黑体" w:eastAsia="仿宋_GB2312"/>
          <w:b/>
          <w:sz w:val="32"/>
          <w:szCs w:val="32"/>
        </w:rPr>
        <w:t>课题名称：</w:t>
      </w:r>
      <w:r>
        <w:rPr>
          <w:rFonts w:hint="eastAsia" w:ascii="仿宋_GB2312" w:hAnsi="仿宋_GB2312" w:eastAsia="仿宋_GB2312" w:cs="仿宋_GB2312"/>
          <w:b/>
          <w:sz w:val="32"/>
          <w:szCs w:val="32"/>
        </w:rPr>
        <w:t>《大小梅沙片区建设世界级旅游休闲目的地研究》</w:t>
      </w:r>
    </w:p>
    <w:p>
      <w:pPr>
        <w:spacing w:line="60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研究方向：</w:t>
      </w:r>
      <w:r>
        <w:rPr>
          <w:rFonts w:hint="eastAsia" w:ascii="仿宋_GB2312" w:hAnsi="仿宋_GB2312" w:eastAsia="仿宋_GB2312" w:cs="仿宋_GB2312"/>
          <w:sz w:val="32"/>
          <w:szCs w:val="32"/>
        </w:rPr>
        <w:t>旅游作为盐田最为响亮的名片之一，在当前盐田打造“全域+全季”旅游背景下，选取大小梅沙片区一炮打响，将其打造为世界级旅游休闲目的地的意义重大。从发展战略、资源整合、空间布局、产品开发、配套保障等方面对梅沙片区进行旅游专项规划，将“梅沙不设限”理念贯穿梅沙世界级旅游休闲目的地建设全过程中，吸纳借鉴世界级优秀旅游休闲目的地的产品、经验、制度等，为盐田旅游实现新一轮发展提供引擎。</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有关要求：</w:t>
      </w:r>
      <w:r>
        <w:rPr>
          <w:rFonts w:hint="eastAsia" w:ascii="仿宋_GB2312" w:hAnsi="仿宋_GB2312" w:eastAsia="仿宋_GB2312" w:cs="仿宋_GB2312"/>
          <w:b w:val="0"/>
          <w:bCs/>
          <w:sz w:val="32"/>
          <w:szCs w:val="32"/>
          <w:lang w:eastAsia="zh-CN"/>
        </w:rPr>
        <w:t>课题研究以大梅沙片区为主；</w:t>
      </w:r>
      <w:r>
        <w:rPr>
          <w:rFonts w:hint="eastAsia" w:ascii="仿宋_GB2312" w:hAnsi="仿宋" w:eastAsia="仿宋_GB2312"/>
          <w:sz w:val="32"/>
          <w:szCs w:val="32"/>
        </w:rPr>
        <w:t>需对标新加坡圣淘沙等世界知名旅游目的地，</w:t>
      </w:r>
      <w:r>
        <w:rPr>
          <w:rFonts w:hint="eastAsia" w:ascii="仿宋_GB2312" w:hAnsi="仿宋" w:eastAsia="仿宋_GB2312"/>
          <w:sz w:val="32"/>
          <w:szCs w:val="32"/>
          <w:lang w:eastAsia="zh-CN"/>
        </w:rPr>
        <w:t>如有必要需赴</w:t>
      </w:r>
      <w:r>
        <w:rPr>
          <w:rFonts w:hint="eastAsia" w:ascii="仿宋_GB2312" w:hAnsi="仿宋" w:eastAsia="仿宋_GB2312"/>
          <w:sz w:val="32"/>
          <w:szCs w:val="32"/>
        </w:rPr>
        <w:t>现场开展实地调研</w:t>
      </w:r>
      <w:r>
        <w:rPr>
          <w:rFonts w:hint="eastAsia" w:ascii="仿宋_GB2312" w:hAnsi="仿宋" w:eastAsia="仿宋_GB2312"/>
          <w:sz w:val="32"/>
          <w:szCs w:val="32"/>
          <w:lang w:eastAsia="zh-CN"/>
        </w:rPr>
        <w:t>工作</w:t>
      </w:r>
      <w:r>
        <w:rPr>
          <w:rFonts w:hint="eastAsia" w:ascii="仿宋_GB2312" w:hAnsi="仿宋" w:eastAsia="仿宋_GB2312"/>
          <w:sz w:val="32"/>
          <w:szCs w:val="32"/>
        </w:rPr>
        <w:t>；需将盐田探索建设游艇自由港纳入为重点研究内容之一；课题最终需形成较好的转化路径，</w:t>
      </w:r>
      <w:r>
        <w:rPr>
          <w:rFonts w:hint="eastAsia" w:ascii="仿宋_GB2312" w:hAnsi="仿宋" w:eastAsia="仿宋_GB2312"/>
          <w:sz w:val="32"/>
          <w:szCs w:val="32"/>
          <w:lang w:eastAsia="zh-CN"/>
        </w:rPr>
        <w:t>提出的</w:t>
      </w:r>
      <w:r>
        <w:rPr>
          <w:rFonts w:hint="eastAsia" w:ascii="仿宋_GB2312" w:hAnsi="仿宋" w:eastAsia="仿宋_GB2312"/>
          <w:sz w:val="32"/>
          <w:szCs w:val="32"/>
        </w:rPr>
        <w:t>重点项目</w:t>
      </w:r>
      <w:r>
        <w:rPr>
          <w:rFonts w:hint="eastAsia" w:ascii="仿宋_GB2312" w:hAnsi="仿宋" w:eastAsia="仿宋_GB2312"/>
          <w:sz w:val="32"/>
          <w:szCs w:val="32"/>
          <w:lang w:eastAsia="zh-CN"/>
        </w:rPr>
        <w:t>需</w:t>
      </w:r>
      <w:r>
        <w:rPr>
          <w:rFonts w:hint="eastAsia" w:ascii="仿宋_GB2312" w:hAnsi="仿宋" w:eastAsia="仿宋_GB2312"/>
          <w:sz w:val="32"/>
          <w:szCs w:val="32"/>
        </w:rPr>
        <w:t>具备一定的落地性和可操作性。</w:t>
      </w:r>
    </w:p>
    <w:p>
      <w:pPr>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预算金额：</w:t>
      </w:r>
      <w:r>
        <w:rPr>
          <w:rFonts w:hint="eastAsia" w:ascii="仿宋_GB2312" w:hAnsi="仿宋" w:eastAsia="仿宋_GB2312"/>
          <w:sz w:val="32"/>
          <w:szCs w:val="32"/>
          <w:lang w:val="en-US" w:eastAsia="zh-CN"/>
        </w:rPr>
        <w:t>30</w:t>
      </w:r>
      <w:r>
        <w:rPr>
          <w:rFonts w:hint="eastAsia" w:ascii="仿宋_GB2312" w:hAnsi="仿宋" w:eastAsia="仿宋_GB2312"/>
          <w:sz w:val="32"/>
          <w:szCs w:val="32"/>
        </w:rPr>
        <w:t>万元（人民币）以内（含评审费）</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研究起止时间：</w:t>
      </w:r>
      <w:r>
        <w:rPr>
          <w:rFonts w:hint="eastAsia" w:ascii="仿宋_GB2312" w:hAnsi="黑体" w:eastAsia="仿宋_GB2312"/>
          <w:sz w:val="32"/>
          <w:szCs w:val="32"/>
        </w:rPr>
        <w:t>自合同签订日起到2020年10月</w:t>
      </w:r>
      <w:r>
        <w:rPr>
          <w:rFonts w:hint="eastAsia" w:ascii="仿宋_GB2312" w:hAnsi="黑体" w:eastAsia="仿宋_GB2312"/>
          <w:sz w:val="32"/>
          <w:szCs w:val="32"/>
          <w:lang w:val="en-US" w:eastAsia="zh-CN"/>
        </w:rPr>
        <w:t>31</w:t>
      </w:r>
      <w:r>
        <w:rPr>
          <w:rFonts w:hint="eastAsia" w:ascii="仿宋_GB2312" w:hAnsi="黑体"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993317489"/>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3E56"/>
    <w:rsid w:val="002E3C55"/>
    <w:rsid w:val="00951E73"/>
    <w:rsid w:val="009E7A1F"/>
    <w:rsid w:val="00A33E56"/>
    <w:rsid w:val="00A73101"/>
    <w:rsid w:val="00E67FDB"/>
    <w:rsid w:val="00FF007C"/>
    <w:rsid w:val="03EB7A86"/>
    <w:rsid w:val="07806FBB"/>
    <w:rsid w:val="115F5941"/>
    <w:rsid w:val="1EEA4553"/>
    <w:rsid w:val="2C2B0AB4"/>
    <w:rsid w:val="3BC2733E"/>
    <w:rsid w:val="3BFF51D5"/>
    <w:rsid w:val="48351646"/>
    <w:rsid w:val="56FE14AB"/>
    <w:rsid w:val="58FC7F75"/>
    <w:rsid w:val="593E3B0B"/>
    <w:rsid w:val="5C6E1EA7"/>
    <w:rsid w:val="66307BDE"/>
    <w:rsid w:val="6ADF5288"/>
    <w:rsid w:val="6DF24B31"/>
    <w:rsid w:val="7D08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99"/>
    <w:rPr>
      <w:kern w:val="2"/>
      <w:sz w:val="18"/>
      <w:szCs w:val="18"/>
    </w:rPr>
  </w:style>
  <w:style w:type="character" w:customStyle="1" w:styleId="8">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盐田区政府</Company>
  <Pages>4</Pages>
  <Words>243</Words>
  <Characters>1390</Characters>
  <Lines>11</Lines>
  <Paragraphs>3</Paragraphs>
  <TotalTime>2</TotalTime>
  <ScaleCrop>false</ScaleCrop>
  <LinksUpToDate>false</LinksUpToDate>
  <CharactersWithSpaces>1630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2018-03-05T03:42:00Z</dcterms:created>
  <dc:creator>묰૫厜ᐍ</dc:creator>
  <cp:lastModifiedBy>王命盛</cp:lastModifiedBy>
  <cp:lastPrinted>2020-04-10T07:56:00Z</cp:lastPrinted>
  <dcterms:modified xsi:type="dcterms:W3CDTF">2020-04-15T02:46:28Z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